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B1" w:rsidRPr="000463D2" w:rsidRDefault="001F15B1" w:rsidP="001F15B1">
      <w:pPr>
        <w:pStyle w:val="Heading1"/>
        <w:rPr>
          <w:b/>
          <w:color w:val="000000" w:themeColor="text1"/>
        </w:rPr>
      </w:pPr>
      <w:r w:rsidRPr="000463D2">
        <w:rPr>
          <w:b/>
          <w:color w:val="000000" w:themeColor="text1"/>
        </w:rPr>
        <w:t xml:space="preserve">Agenda for the March 11, 2015 Meeting of the Strategic Oversight Committee for the Washington State </w:t>
      </w:r>
      <w:bookmarkStart w:id="0" w:name="_GoBack"/>
      <w:r w:rsidRPr="000463D2">
        <w:rPr>
          <w:b/>
          <w:color w:val="000000" w:themeColor="text1"/>
        </w:rPr>
        <w:t>Center</w:t>
      </w:r>
      <w:bookmarkEnd w:id="0"/>
      <w:r w:rsidRPr="000463D2">
        <w:rPr>
          <w:b/>
          <w:color w:val="000000" w:themeColor="text1"/>
        </w:rPr>
        <w:t xml:space="preserve"> for Court Research</w:t>
      </w:r>
    </w:p>
    <w:p w:rsidR="001F15B1" w:rsidRDefault="001F15B1">
      <w:pPr>
        <w:rPr>
          <w:b/>
        </w:rPr>
      </w:pPr>
    </w:p>
    <w:p w:rsidR="001F15B1" w:rsidRDefault="001F15B1" w:rsidP="00750FF3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>
        <w:t>Introductions</w:t>
      </w:r>
      <w:r w:rsidR="0033016C">
        <w:t xml:space="preserve"> and Supreme Court Order (attached)</w:t>
      </w:r>
    </w:p>
    <w:p w:rsidR="001F15B1" w:rsidRDefault="001F15B1" w:rsidP="00750FF3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>
        <w:t xml:space="preserve">Role of </w:t>
      </w:r>
      <w:r w:rsidR="0033016C">
        <w:t>WSCCR</w:t>
      </w:r>
      <w:r>
        <w:t xml:space="preserve">: </w:t>
      </w:r>
      <w:r w:rsidRPr="001F15B1">
        <w:t>Research for development and monitoring of policies and programs, including assessment of implementation, outcomes evaluation, routine performance reporting for performance management, and program development</w:t>
      </w:r>
    </w:p>
    <w:p w:rsidR="00A357E2" w:rsidRDefault="001F15B1" w:rsidP="00750FF3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>
        <w:t xml:space="preserve">Current </w:t>
      </w:r>
      <w:r w:rsidR="00D54C7B">
        <w:t>WSCCR</w:t>
      </w:r>
      <w:r>
        <w:t xml:space="preserve"> </w:t>
      </w:r>
      <w:r w:rsidR="0033016C">
        <w:t>Projects and Programs (</w:t>
      </w:r>
      <w:r>
        <w:t>attached</w:t>
      </w:r>
      <w:r w:rsidR="0033016C">
        <w:t>)</w:t>
      </w:r>
    </w:p>
    <w:p w:rsidR="0033016C" w:rsidRDefault="0033016C" w:rsidP="0033016C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>
        <w:t xml:space="preserve">Current </w:t>
      </w:r>
      <w:r w:rsidR="00D54C7B">
        <w:t>WSCCR</w:t>
      </w:r>
      <w:r>
        <w:t xml:space="preserve"> Staffing</w:t>
      </w:r>
      <w:r>
        <w:t xml:space="preserve"> (</w:t>
      </w:r>
      <w:r>
        <w:t>attached</w:t>
      </w:r>
      <w:r>
        <w:t>)</w:t>
      </w:r>
      <w:r w:rsidRPr="0033016C">
        <w:t xml:space="preserve"> </w:t>
      </w:r>
    </w:p>
    <w:p w:rsidR="0033016C" w:rsidRDefault="0033016C" w:rsidP="005E14BB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>
        <w:t xml:space="preserve">Proposed </w:t>
      </w:r>
      <w:r>
        <w:t>Criteria for Considering Research Requests</w:t>
      </w:r>
      <w:r>
        <w:t xml:space="preserve"> (attached)</w:t>
      </w:r>
    </w:p>
    <w:p w:rsidR="00750FF3" w:rsidRDefault="00750FF3" w:rsidP="00750FF3">
      <w:pPr>
        <w:pStyle w:val="ListParagraph"/>
        <w:numPr>
          <w:ilvl w:val="0"/>
          <w:numId w:val="4"/>
        </w:numPr>
        <w:spacing w:after="0" w:line="276" w:lineRule="auto"/>
        <w:contextualSpacing w:val="0"/>
      </w:pPr>
      <w:r>
        <w:t>Pending Requests</w:t>
      </w:r>
      <w:r w:rsidR="00CC1E81">
        <w:t xml:space="preserve"> (see attachments)</w:t>
      </w:r>
    </w:p>
    <w:p w:rsidR="00D761E0" w:rsidRDefault="00D761E0" w:rsidP="00D761E0">
      <w:pPr>
        <w:pStyle w:val="ListParagraph"/>
        <w:numPr>
          <w:ilvl w:val="1"/>
          <w:numId w:val="4"/>
        </w:numPr>
        <w:spacing w:after="240" w:line="276" w:lineRule="auto"/>
      </w:pPr>
      <w:r>
        <w:t>Board for Judicial Administration Resolution on Racial and Ethnic Bias</w:t>
      </w:r>
    </w:p>
    <w:p w:rsidR="00D761E0" w:rsidRDefault="00D761E0" w:rsidP="00D761E0">
      <w:pPr>
        <w:pStyle w:val="ListParagraph"/>
        <w:numPr>
          <w:ilvl w:val="1"/>
          <w:numId w:val="4"/>
        </w:numPr>
        <w:spacing w:after="240" w:line="276" w:lineRule="auto"/>
      </w:pPr>
      <w:r>
        <w:t>Superior Court Judges’ Truancy Reporting Program</w:t>
      </w:r>
      <w:r w:rsidRPr="000463D2">
        <w:t xml:space="preserve"> </w:t>
      </w:r>
    </w:p>
    <w:p w:rsidR="00D4011C" w:rsidRDefault="00CC1E81" w:rsidP="00731341">
      <w:pPr>
        <w:pStyle w:val="ListParagraph"/>
        <w:numPr>
          <w:ilvl w:val="1"/>
          <w:numId w:val="4"/>
        </w:numPr>
        <w:spacing w:after="240" w:line="276" w:lineRule="auto"/>
      </w:pPr>
      <w:r>
        <w:t>Board for Judicial Administration Resolution on Drug Courts and Other Problem-Solving Courts</w:t>
      </w:r>
    </w:p>
    <w:p w:rsidR="000463D2" w:rsidRDefault="000463D2" w:rsidP="000463D2">
      <w:pPr>
        <w:pStyle w:val="ListParagraph"/>
        <w:numPr>
          <w:ilvl w:val="1"/>
          <w:numId w:val="4"/>
        </w:numPr>
        <w:spacing w:after="240" w:line="276" w:lineRule="auto"/>
      </w:pPr>
      <w:r>
        <w:t>Seattle Municipal Court’s Research/ Data Collection Proposal on Jury Diversification</w:t>
      </w:r>
    </w:p>
    <w:p w:rsidR="00CC1E81" w:rsidRDefault="000463D2" w:rsidP="000463D2">
      <w:pPr>
        <w:pStyle w:val="ListParagraph"/>
        <w:numPr>
          <w:ilvl w:val="1"/>
          <w:numId w:val="4"/>
        </w:numPr>
        <w:spacing w:after="240" w:line="276" w:lineRule="auto"/>
      </w:pPr>
      <w:r>
        <w:t>Office of Civil Legal Aid’s Legally Free Children: Comparative Time to Permanency Analysis</w:t>
      </w:r>
    </w:p>
    <w:p w:rsidR="0033016C" w:rsidRDefault="0033016C" w:rsidP="0033016C">
      <w:pPr>
        <w:pStyle w:val="ListParagraph"/>
        <w:numPr>
          <w:ilvl w:val="1"/>
          <w:numId w:val="4"/>
        </w:numPr>
        <w:spacing w:after="240" w:line="276" w:lineRule="auto"/>
      </w:pPr>
      <w:r>
        <w:t>Access to Justice Board’s Plain Language Family Law Forms Impact</w:t>
      </w:r>
      <w:r w:rsidRPr="0033016C">
        <w:t xml:space="preserve"> </w:t>
      </w:r>
    </w:p>
    <w:p w:rsidR="0033016C" w:rsidRDefault="0033016C" w:rsidP="0033016C">
      <w:pPr>
        <w:pStyle w:val="ListParagraph"/>
        <w:numPr>
          <w:ilvl w:val="1"/>
          <w:numId w:val="4"/>
        </w:numPr>
        <w:spacing w:after="240" w:line="276" w:lineRule="auto"/>
      </w:pPr>
      <w:r>
        <w:t>SB 5745 Modification of Truancy Laws</w:t>
      </w:r>
    </w:p>
    <w:p w:rsidR="0033016C" w:rsidRDefault="0033016C" w:rsidP="0033016C">
      <w:pPr>
        <w:pStyle w:val="ListParagraph"/>
        <w:spacing w:after="240" w:line="276" w:lineRule="auto"/>
        <w:ind w:left="1440"/>
      </w:pPr>
    </w:p>
    <w:p w:rsidR="0033016C" w:rsidRDefault="0033016C" w:rsidP="0033016C">
      <w:pPr>
        <w:pStyle w:val="ListParagraph"/>
        <w:numPr>
          <w:ilvl w:val="0"/>
          <w:numId w:val="4"/>
        </w:numPr>
        <w:spacing w:after="0" w:line="276" w:lineRule="auto"/>
        <w:contextualSpacing w:val="0"/>
      </w:pPr>
      <w:r>
        <w:t xml:space="preserve">New Grant Applications and Partnerships (see </w:t>
      </w:r>
      <w:r w:rsidR="000463D2">
        <w:t>attachments</w:t>
      </w:r>
      <w:r>
        <w:t>)</w:t>
      </w:r>
    </w:p>
    <w:p w:rsidR="0033016C" w:rsidRDefault="0033016C" w:rsidP="0033016C">
      <w:pPr>
        <w:pStyle w:val="ListParagraph"/>
        <w:numPr>
          <w:ilvl w:val="1"/>
          <w:numId w:val="4"/>
        </w:numPr>
        <w:spacing w:after="240" w:line="276" w:lineRule="auto"/>
      </w:pPr>
      <w:r>
        <w:t xml:space="preserve">Bureau for Justice Assistance Adult Drug Court Discretionary Grant (with WSU and NPC Research) </w:t>
      </w:r>
    </w:p>
    <w:p w:rsidR="0033016C" w:rsidRDefault="0033016C" w:rsidP="0033016C">
      <w:pPr>
        <w:pStyle w:val="ListParagraph"/>
        <w:numPr>
          <w:ilvl w:val="1"/>
          <w:numId w:val="4"/>
        </w:numPr>
        <w:spacing w:after="0" w:line="276" w:lineRule="auto"/>
      </w:pPr>
      <w:r>
        <w:t>National Institute of Justice Treatment Implementation Grant (with George Mason U. Center for Advancing Correctional Excellence)</w:t>
      </w:r>
      <w:r w:rsidRPr="0033016C">
        <w:t xml:space="preserve"> </w:t>
      </w:r>
    </w:p>
    <w:p w:rsidR="0033016C" w:rsidRDefault="0033016C" w:rsidP="0033016C">
      <w:pPr>
        <w:spacing w:after="0" w:line="276" w:lineRule="auto"/>
      </w:pPr>
    </w:p>
    <w:p w:rsidR="00750FF3" w:rsidRDefault="001F15B1" w:rsidP="00750FF3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 w:rsidRPr="00A357E2">
        <w:t xml:space="preserve">Roles of the Committee: </w:t>
      </w:r>
      <w:r w:rsidR="00A357E2" w:rsidRPr="00A357E2">
        <w:t>Provid</w:t>
      </w:r>
      <w:r w:rsidR="00A357E2">
        <w:t>e</w:t>
      </w:r>
      <w:r w:rsidR="00A357E2" w:rsidRPr="00A357E2">
        <w:t xml:space="preserve"> guidance on strategic policy issues related to </w:t>
      </w:r>
      <w:r w:rsidR="00D54C7B">
        <w:t>WSCCR</w:t>
      </w:r>
      <w:r w:rsidR="00A357E2" w:rsidRPr="00A357E2">
        <w:t>, integrat</w:t>
      </w:r>
      <w:r w:rsidR="00A357E2">
        <w:t>e</w:t>
      </w:r>
      <w:r w:rsidR="00A357E2" w:rsidRPr="00A357E2">
        <w:t xml:space="preserve"> research into the strategic needs of the judicial branch. </w:t>
      </w:r>
      <w:r w:rsidR="00A357E2">
        <w:t xml:space="preserve">Direct creation of partnerships </w:t>
      </w:r>
      <w:r w:rsidR="00A357E2" w:rsidRPr="00A357E2">
        <w:t>with different academic intuitions</w:t>
      </w:r>
      <w:r w:rsidR="00A357E2">
        <w:t xml:space="preserve">, the Center for Children and Youth Justice, </w:t>
      </w:r>
      <w:r w:rsidR="00A357E2" w:rsidRPr="00A357E2">
        <w:t>and other entities</w:t>
      </w:r>
      <w:r w:rsidR="000F4763">
        <w:t xml:space="preserve">. </w:t>
      </w:r>
      <w:r>
        <w:t>See attached Washington Supreme Court Order</w:t>
      </w:r>
    </w:p>
    <w:p w:rsidR="000F4763" w:rsidRPr="001F15B1" w:rsidRDefault="000F4763" w:rsidP="00750FF3">
      <w:pPr>
        <w:pStyle w:val="ListParagraph"/>
        <w:numPr>
          <w:ilvl w:val="0"/>
          <w:numId w:val="4"/>
        </w:numPr>
        <w:spacing w:after="240" w:line="276" w:lineRule="auto"/>
        <w:contextualSpacing w:val="0"/>
      </w:pPr>
      <w:r>
        <w:t>Other business</w:t>
      </w:r>
    </w:p>
    <w:p w:rsidR="001F15B1" w:rsidRDefault="001F15B1" w:rsidP="00750FF3">
      <w:pPr>
        <w:spacing w:line="276" w:lineRule="auto"/>
        <w:rPr>
          <w:b/>
        </w:rPr>
      </w:pPr>
    </w:p>
    <w:sectPr w:rsidR="001F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57"/>
    <w:multiLevelType w:val="hybridMultilevel"/>
    <w:tmpl w:val="F42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0EC"/>
    <w:multiLevelType w:val="hybridMultilevel"/>
    <w:tmpl w:val="5DC821BC"/>
    <w:lvl w:ilvl="0" w:tplc="3DBE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6BCC"/>
    <w:multiLevelType w:val="hybridMultilevel"/>
    <w:tmpl w:val="746E226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2394"/>
    <w:multiLevelType w:val="hybridMultilevel"/>
    <w:tmpl w:val="8DE2B07C"/>
    <w:lvl w:ilvl="0" w:tplc="DA7ED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A"/>
    <w:rsid w:val="000463D2"/>
    <w:rsid w:val="000C234D"/>
    <w:rsid w:val="000F4763"/>
    <w:rsid w:val="00101D18"/>
    <w:rsid w:val="001908FD"/>
    <w:rsid w:val="001F15B1"/>
    <w:rsid w:val="00235EF3"/>
    <w:rsid w:val="0033016C"/>
    <w:rsid w:val="00502E00"/>
    <w:rsid w:val="00670E2C"/>
    <w:rsid w:val="006C705D"/>
    <w:rsid w:val="006E411F"/>
    <w:rsid w:val="00750FF3"/>
    <w:rsid w:val="008B1895"/>
    <w:rsid w:val="00A25160"/>
    <w:rsid w:val="00A357E2"/>
    <w:rsid w:val="00AF487A"/>
    <w:rsid w:val="00CC1E81"/>
    <w:rsid w:val="00D04039"/>
    <w:rsid w:val="00D4011C"/>
    <w:rsid w:val="00D54C7B"/>
    <w:rsid w:val="00D761E0"/>
    <w:rsid w:val="00F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6046F-F258-4181-A0D8-CBE878F8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McCurley, Carl</dc:creator>
  <cp:keywords/>
  <dc:description/>
  <cp:lastModifiedBy>McCurley, Carl</cp:lastModifiedBy>
  <cp:revision>3</cp:revision>
  <dcterms:created xsi:type="dcterms:W3CDTF">2015-03-06T02:46:00Z</dcterms:created>
  <dcterms:modified xsi:type="dcterms:W3CDTF">2015-03-06T02:59:00Z</dcterms:modified>
</cp:coreProperties>
</file>